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43" w:rsidRPr="005E2643" w:rsidRDefault="005E2643" w:rsidP="005E2643">
      <w:pPr>
        <w:spacing w:after="225" w:line="414" w:lineRule="atLeast"/>
        <w:textAlignment w:val="top"/>
        <w:outlineLvl w:val="1"/>
        <w:rPr>
          <w:rFonts w:ascii="Arial" w:eastAsia="Times New Roman" w:hAnsi="Arial" w:cs="Arial"/>
          <w:b/>
          <w:bCs/>
          <w:color w:val="ED0678"/>
          <w:sz w:val="35"/>
          <w:szCs w:val="35"/>
        </w:rPr>
      </w:pPr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 xml:space="preserve">Ý </w:t>
      </w:r>
      <w:proofErr w:type="spellStart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>nghĩa</w:t>
      </w:r>
      <w:proofErr w:type="spellEnd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 xml:space="preserve"> 12 </w:t>
      </w:r>
      <w:proofErr w:type="spellStart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>số</w:t>
      </w:r>
      <w:proofErr w:type="spellEnd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>trên</w:t>
      </w:r>
      <w:proofErr w:type="spellEnd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>thẻ</w:t>
      </w:r>
      <w:proofErr w:type="spellEnd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>Căn</w:t>
      </w:r>
      <w:proofErr w:type="spellEnd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>cước</w:t>
      </w:r>
      <w:proofErr w:type="spellEnd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>công</w:t>
      </w:r>
      <w:proofErr w:type="spellEnd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ED0678"/>
          <w:sz w:val="35"/>
          <w:szCs w:val="35"/>
        </w:rPr>
        <w:t>dân</w:t>
      </w:r>
      <w:proofErr w:type="spellEnd"/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của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thẻ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căn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cước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chính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định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danh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cá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nhân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. Theo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Điều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13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của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Nghị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định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137/2015/NĐ-CP,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dãy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này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gồm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12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có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cấu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trúc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gồm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06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thế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kỷ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giới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tính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của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tỉnh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thành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phố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trực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thuộc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trung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ương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hoặc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quốc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gia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nơi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đăng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ký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khai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và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06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khoảng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ngẫu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nhiên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.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Cụ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thể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Điều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7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tư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07/2016/TT-BCA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hướng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dẫn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về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ý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nghĩa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của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từng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chữ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này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như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sau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:</w:t>
      </w:r>
    </w:p>
    <w:p w:rsidR="005E2643" w:rsidRPr="005E2643" w:rsidRDefault="005E2643" w:rsidP="005E2643">
      <w:pPr>
        <w:spacing w:after="0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>- </w:t>
      </w:r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03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chữ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số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đầu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tiên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 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tỉnh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thành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phố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trực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thuộc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trung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ương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hoặc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quốc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gia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nơi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đăng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ký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khai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,</w:t>
      </w:r>
    </w:p>
    <w:p w:rsidR="005E2643" w:rsidRPr="005E2643" w:rsidRDefault="005E2643" w:rsidP="005E2643">
      <w:pPr>
        <w:spacing w:after="0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>- </w:t>
      </w:r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01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chữ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số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tiếp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theo</w:t>
      </w:r>
      <w:proofErr w:type="spellEnd"/>
      <w:proofErr w:type="gramEnd"/>
      <w:r w:rsidRPr="005E2643">
        <w:rPr>
          <w:rFonts w:ascii="Arial" w:eastAsia="Times New Roman" w:hAnsi="Arial" w:cs="Arial"/>
          <w:color w:val="3B3B3B"/>
          <w:sz w:val="21"/>
          <w:szCs w:val="21"/>
        </w:rPr>
        <w:t> 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giới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tính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của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</w:p>
    <w:p w:rsidR="005E2643" w:rsidRPr="005E2643" w:rsidRDefault="005E2643" w:rsidP="005E2643">
      <w:pPr>
        <w:spacing w:after="0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>- </w:t>
      </w:r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02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chữ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số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tiếp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theo</w:t>
      </w:r>
      <w:proofErr w:type="spellEnd"/>
      <w:proofErr w:type="gramEnd"/>
      <w:r w:rsidRPr="005E2643">
        <w:rPr>
          <w:rFonts w:ascii="Arial" w:eastAsia="Times New Roman" w:hAnsi="Arial" w:cs="Arial"/>
          <w:color w:val="3B3B3B"/>
          <w:sz w:val="21"/>
          <w:szCs w:val="21"/>
        </w:rPr>
        <w:t> 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của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;</w:t>
      </w:r>
    </w:p>
    <w:p w:rsidR="005E2643" w:rsidRPr="005E2643" w:rsidRDefault="005E2643" w:rsidP="005E2643">
      <w:pPr>
        <w:spacing w:after="0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>- </w:t>
      </w:r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06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chữ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số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cuối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 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khoảng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ngẫu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nhiên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.</w:t>
      </w:r>
    </w:p>
    <w:p w:rsidR="005E2643" w:rsidRPr="005E2643" w:rsidRDefault="005E2643" w:rsidP="005E2643">
      <w:pPr>
        <w:spacing w:after="225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>
        <w:rPr>
          <w:rFonts w:ascii="Arial" w:eastAsia="Times New Roman" w:hAnsi="Arial" w:cs="Arial"/>
          <w:noProof/>
          <w:color w:val="3B3B3B"/>
          <w:sz w:val="21"/>
          <w:szCs w:val="21"/>
        </w:rPr>
        <w:drawing>
          <wp:inline distT="0" distB="0" distL="0" distR="0">
            <wp:extent cx="2779395" cy="1634490"/>
            <wp:effectExtent l="0" t="0" r="1905" b="3810"/>
            <wp:docPr id="1" name="Picture 1" descr="https://congan.dongthap.gov.vn/documents/248410/0/cccd12so.jpg/09c9f40b-fa94-6ea4-da91-22678b1fa09f?t=161642831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gan.dongthap.gov.vn/documents/248410/0/cccd12so.jpg/09c9f40b-fa94-6ea4-da91-22678b1fa09f?t=16164283143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43" w:rsidRPr="005E2643" w:rsidRDefault="005E2643" w:rsidP="005E2643">
      <w:pPr>
        <w:spacing w:after="225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> </w:t>
      </w:r>
    </w:p>
    <w:p w:rsidR="005E2643" w:rsidRPr="005E2643" w:rsidRDefault="005E2643" w:rsidP="005E2643">
      <w:pPr>
        <w:spacing w:after="0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Ý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nghĩa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các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số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trên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thẻ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căn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cước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công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dân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Ảnh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minh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họa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)</w:t>
      </w:r>
    </w:p>
    <w:p w:rsidR="005E2643" w:rsidRPr="005E2643" w:rsidRDefault="005E2643" w:rsidP="005E2643">
      <w:pPr>
        <w:spacing w:after="0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proofErr w:type="spellStart"/>
      <w:r w:rsidRPr="005E2643">
        <w:rPr>
          <w:rFonts w:ascii="Arial" w:eastAsia="Times New Roman" w:hAnsi="Arial" w:cs="Arial"/>
          <w:b/>
          <w:bCs/>
          <w:i/>
          <w:iCs/>
          <w:color w:val="3B3B3B"/>
          <w:sz w:val="21"/>
          <w:szCs w:val="21"/>
          <w:bdr w:val="none" w:sz="0" w:space="0" w:color="auto" w:frame="1"/>
        </w:rPr>
        <w:t>Trong</w:t>
      </w:r>
      <w:proofErr w:type="spellEnd"/>
      <w:r w:rsidRPr="005E2643">
        <w:rPr>
          <w:rFonts w:ascii="Arial" w:eastAsia="Times New Roman" w:hAnsi="Arial" w:cs="Arial"/>
          <w:b/>
          <w:bCs/>
          <w:i/>
          <w:i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i/>
          <w:iCs/>
          <w:color w:val="3B3B3B"/>
          <w:sz w:val="21"/>
          <w:szCs w:val="21"/>
          <w:bdr w:val="none" w:sz="0" w:space="0" w:color="auto" w:frame="1"/>
        </w:rPr>
        <w:t>đó</w:t>
      </w:r>
      <w:proofErr w:type="spellEnd"/>
      <w:r w:rsidRPr="005E2643">
        <w:rPr>
          <w:rFonts w:ascii="Arial" w:eastAsia="Times New Roman" w:hAnsi="Arial" w:cs="Arial"/>
          <w:b/>
          <w:bCs/>
          <w:i/>
          <w:iCs/>
          <w:color w:val="3B3B3B"/>
          <w:sz w:val="21"/>
          <w:szCs w:val="21"/>
          <w:bdr w:val="none" w:sz="0" w:space="0" w:color="auto" w:frame="1"/>
        </w:rPr>
        <w:t>: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-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tỉnh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thành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phố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trực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thuộc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trung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ương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nơi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khai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có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các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từ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001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đến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0096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tương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ứng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với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63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tỉnh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thành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phố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trong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nước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.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khai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ở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Nội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có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001,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Hải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Phòng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có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031,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Nẵng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có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048, TP.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Hồ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Chí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Minh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có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079…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-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thế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kỷ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và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giới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tính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được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quy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ước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như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sau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: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+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Thế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kỷ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20 (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từ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1900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đến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hết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1999): Nam 0,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nữ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1;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+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Thế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kỷ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21 (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từ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2000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đến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hết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2099): Nam 2,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nữ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3;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+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Thế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kỷ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22 (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từ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2100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đến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hết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2199): Nam 4,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nữ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5;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+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Thế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kỷ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23 (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từ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2200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đến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hết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2299): Nam 6,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nữ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7;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+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Thế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kỷ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24 (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từ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2300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đến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hết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2399): Nam 8,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nữ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9.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-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: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Thể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hiện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hai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cuối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của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.</w:t>
      </w:r>
    </w:p>
    <w:p w:rsidR="005E2643" w:rsidRPr="005E2643" w:rsidRDefault="005E2643" w:rsidP="005E2643">
      <w:pPr>
        <w:spacing w:after="0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proofErr w:type="spellStart"/>
      <w:r w:rsidRPr="005E2643">
        <w:rPr>
          <w:rFonts w:ascii="Arial" w:eastAsia="Times New Roman" w:hAnsi="Arial" w:cs="Arial"/>
          <w:b/>
          <w:bCs/>
          <w:i/>
          <w:iCs/>
          <w:color w:val="3B3B3B"/>
          <w:sz w:val="21"/>
          <w:szCs w:val="21"/>
          <w:bdr w:val="none" w:sz="0" w:space="0" w:color="auto" w:frame="1"/>
        </w:rPr>
        <w:lastRenderedPageBreak/>
        <w:t>Ví</w:t>
      </w:r>
      <w:proofErr w:type="spellEnd"/>
      <w:r w:rsidRPr="005E2643">
        <w:rPr>
          <w:rFonts w:ascii="Arial" w:eastAsia="Times New Roman" w:hAnsi="Arial" w:cs="Arial"/>
          <w:b/>
          <w:bCs/>
          <w:i/>
          <w:i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i/>
          <w:iCs/>
          <w:color w:val="3B3B3B"/>
          <w:sz w:val="21"/>
          <w:szCs w:val="21"/>
          <w:bdr w:val="none" w:sz="0" w:space="0" w:color="auto" w:frame="1"/>
        </w:rPr>
        <w:t>d</w:t>
      </w:r>
      <w:bookmarkStart w:id="0" w:name="_GoBack"/>
      <w:bookmarkEnd w:id="0"/>
      <w:r w:rsidRPr="005E2643">
        <w:rPr>
          <w:rFonts w:ascii="Arial" w:eastAsia="Times New Roman" w:hAnsi="Arial" w:cs="Arial"/>
          <w:b/>
          <w:bCs/>
          <w:i/>
          <w:iCs/>
          <w:color w:val="3B3B3B"/>
          <w:sz w:val="21"/>
          <w:szCs w:val="21"/>
          <w:bdr w:val="none" w:sz="0" w:space="0" w:color="auto" w:frame="1"/>
        </w:rPr>
        <w:t>ụ</w:t>
      </w:r>
      <w:proofErr w:type="spellEnd"/>
      <w:r w:rsidRPr="005E2643">
        <w:rPr>
          <w:rFonts w:ascii="Arial" w:eastAsia="Times New Roman" w:hAnsi="Arial" w:cs="Arial"/>
          <w:b/>
          <w:bCs/>
          <w:i/>
          <w:iCs/>
          <w:color w:val="3B3B3B"/>
          <w:sz w:val="21"/>
          <w:szCs w:val="21"/>
          <w:bdr w:val="none" w:sz="0" w:space="0" w:color="auto" w:frame="1"/>
        </w:rPr>
        <w:t>: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căn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cước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: 087084000999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thì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: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- 087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tỉnh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Đồng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Tháp</w:t>
      </w:r>
      <w:proofErr w:type="spellEnd"/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- 0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thể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hiện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giới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tính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Nam,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tại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thế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kỷ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20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- 84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thể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hiện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dân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sinh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năm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1984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- 000999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là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dãy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ngẫu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nhiên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>.</w:t>
      </w:r>
    </w:p>
    <w:p w:rsidR="005E2643" w:rsidRPr="005E2643" w:rsidRDefault="005E2643" w:rsidP="005E2643">
      <w:pPr>
        <w:spacing w:after="0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Chi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tiết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mã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tỉnh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thành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phố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trên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>thẻ</w:t>
      </w:r>
      <w:proofErr w:type="spellEnd"/>
      <w:r w:rsidRPr="005E2643">
        <w:rPr>
          <w:rFonts w:ascii="Arial" w:eastAsia="Times New Roman" w:hAnsi="Arial" w:cs="Arial"/>
          <w:b/>
          <w:bCs/>
          <w:color w:val="3B3B3B"/>
          <w:sz w:val="21"/>
          <w:szCs w:val="21"/>
          <w:bdr w:val="none" w:sz="0" w:space="0" w:color="auto" w:frame="1"/>
        </w:rPr>
        <w:t xml:space="preserve"> CCCD</w:t>
      </w:r>
    </w:p>
    <w:p w:rsidR="005E2643" w:rsidRPr="005E2643" w:rsidRDefault="005E2643" w:rsidP="005E2643">
      <w:pPr>
        <w:spacing w:after="225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Hiện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nay,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mã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tỉnh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,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thành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phố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trực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thuộc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Trung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ương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trên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thẻ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CCCD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được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quy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định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tại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Phụ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lục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1 ban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hành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kèm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proofErr w:type="gram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theo</w:t>
      </w:r>
      <w:proofErr w:type="spellEnd"/>
      <w:proofErr w:type="gram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Thông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tư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số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07/2016/TT-BCA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ngày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01/02/2016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của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Bộ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</w:t>
      </w:r>
      <w:proofErr w:type="spellStart"/>
      <w:r w:rsidRPr="005E2643">
        <w:rPr>
          <w:rFonts w:ascii="Arial" w:eastAsia="Times New Roman" w:hAnsi="Arial" w:cs="Arial"/>
          <w:color w:val="3B3B3B"/>
          <w:sz w:val="21"/>
          <w:szCs w:val="21"/>
        </w:rPr>
        <w:t>Công</w:t>
      </w:r>
      <w:proofErr w:type="spellEnd"/>
      <w:r w:rsidRPr="005E2643">
        <w:rPr>
          <w:rFonts w:ascii="Arial" w:eastAsia="Times New Roman" w:hAnsi="Arial" w:cs="Arial"/>
          <w:color w:val="3B3B3B"/>
          <w:sz w:val="21"/>
          <w:szCs w:val="21"/>
        </w:rPr>
        <w:t xml:space="preserve"> an.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7486"/>
        <w:gridCol w:w="1168"/>
      </w:tblGrid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hành</w:t>
            </w:r>
            <w:proofErr w:type="spellEnd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chính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Mã</w:t>
            </w:r>
            <w:proofErr w:type="spellEnd"/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Hà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Nội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001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Hà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002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Cao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004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Bắc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Kạn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006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Tuyên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Quang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008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Lào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Cai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010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Biên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011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Lai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Châu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012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Sơn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014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Yên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015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Hòa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017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Thái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Nguyên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019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Lạng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Sơn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020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Quảng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Ninh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022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Bắc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024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Phú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Thọ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025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Vĩnh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026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Bắc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Ninh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027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Hải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Dương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030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Hải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031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Hưng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Yên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033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Thái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034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Hà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035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Nam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036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Ninh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037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Thanh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Hóa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038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Nghệ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040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Hà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Tĩnh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042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Quảng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044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Quảng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Trị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045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Thừa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Thiên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Huế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046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Đà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Nẵng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048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Quảng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049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Quảng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Ngãi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051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052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Phú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Yên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054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Khánh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Hòa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056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Ninh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Thuận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058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Thuận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060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Kon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062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Gia Lai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064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Đắk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Lắk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066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Đắk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Nông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067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Lâm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068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Phước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070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Tây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Ninh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072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Dương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074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Đồng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Nai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075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Bà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Rịa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Vũng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Tàu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077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Hồ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Chí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Minh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079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Long 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080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082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Bến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083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Trà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Vinh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084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Vĩnh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Long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086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Đồng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Tháp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087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An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089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Kiên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091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Cần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Thơ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092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Hậu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093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Sóc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Trăng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094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Bạc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Liêu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095</w:t>
            </w:r>
          </w:p>
        </w:tc>
      </w:tr>
      <w:tr w:rsidR="005E2643" w:rsidRPr="005E2643" w:rsidTr="005E26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Cà</w:t>
            </w:r>
            <w:proofErr w:type="spellEnd"/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 xml:space="preserve"> Mau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2643" w:rsidRPr="005E2643" w:rsidRDefault="005E2643" w:rsidP="005E2643">
            <w:pPr>
              <w:spacing w:after="0" w:line="3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3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</w:rPr>
              <w:t>096</w:t>
            </w:r>
          </w:p>
        </w:tc>
      </w:tr>
    </w:tbl>
    <w:p w:rsidR="00221884" w:rsidRDefault="00221884"/>
    <w:sectPr w:rsidR="0022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43"/>
    <w:rsid w:val="00221884"/>
    <w:rsid w:val="005E174F"/>
    <w:rsid w:val="005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2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26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E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2643"/>
    <w:rPr>
      <w:b/>
      <w:bCs/>
    </w:rPr>
  </w:style>
  <w:style w:type="character" w:styleId="Emphasis">
    <w:name w:val="Emphasis"/>
    <w:basedOn w:val="DefaultParagraphFont"/>
    <w:uiPriority w:val="20"/>
    <w:qFormat/>
    <w:rsid w:val="005E26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2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26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E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2643"/>
    <w:rPr>
      <w:b/>
      <w:bCs/>
    </w:rPr>
  </w:style>
  <w:style w:type="character" w:styleId="Emphasis">
    <w:name w:val="Emphasis"/>
    <w:basedOn w:val="DefaultParagraphFont"/>
    <w:uiPriority w:val="20"/>
    <w:qFormat/>
    <w:rsid w:val="005E26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5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1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2023-02-22T13:56:00Z</dcterms:created>
  <dcterms:modified xsi:type="dcterms:W3CDTF">2023-02-22T13:57:00Z</dcterms:modified>
</cp:coreProperties>
</file>